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4A" w:rsidRPr="0063237B" w:rsidRDefault="0063237B" w:rsidP="00524771">
      <w:pPr>
        <w:pStyle w:val="Vchoz"/>
        <w:spacing w:after="240" w:line="20" w:lineRule="atLeast"/>
        <w:contextualSpacing/>
        <w:rPr>
          <w:rFonts w:ascii="Cambria" w:hAnsi="Cambria" w:cs="Adobe Arabic"/>
          <w:b/>
          <w:bCs/>
          <w:sz w:val="40"/>
          <w:szCs w:val="40"/>
          <w:lang w:val="cs-CZ"/>
        </w:rPr>
      </w:pPr>
      <w:r w:rsidRPr="0063237B">
        <w:rPr>
          <w:rFonts w:ascii="Cambria" w:hAnsi="Cambria" w:cs="Adobe Arabic"/>
          <w:b/>
          <w:bCs/>
          <w:sz w:val="40"/>
          <w:szCs w:val="40"/>
          <w:lang w:val="cs-CZ"/>
        </w:rPr>
        <w:t>Elektrický longboard</w:t>
      </w:r>
    </w:p>
    <w:p w:rsidR="0063237B" w:rsidRPr="0063237B" w:rsidRDefault="0063237B" w:rsidP="00524771">
      <w:pPr>
        <w:pStyle w:val="Vchoz"/>
        <w:spacing w:after="240" w:line="20" w:lineRule="atLeast"/>
        <w:contextualSpacing/>
        <w:rPr>
          <w:rFonts w:ascii="Cambria" w:hAnsi="Cambria"/>
          <w:b/>
          <w:bCs/>
          <w:sz w:val="24"/>
          <w:szCs w:val="24"/>
          <w:lang w:val="cs-CZ"/>
        </w:rPr>
      </w:pPr>
      <w:r w:rsidRPr="0063237B">
        <w:rPr>
          <w:rFonts w:ascii="Cambria" w:hAnsi="Cambria" w:cs="Adobe Arabic"/>
          <w:b/>
          <w:bCs/>
          <w:sz w:val="24"/>
          <w:szCs w:val="24"/>
          <w:lang w:val="cs-CZ"/>
        </w:rPr>
        <w:t>Uživatelský manuál</w:t>
      </w:r>
    </w:p>
    <w:p w:rsidR="00524771" w:rsidRPr="0063237B" w:rsidRDefault="00524771" w:rsidP="00524771">
      <w:pPr>
        <w:pStyle w:val="Vchoz"/>
        <w:spacing w:after="240" w:line="20" w:lineRule="atLeast"/>
        <w:contextualSpacing/>
        <w:rPr>
          <w:rFonts w:ascii="Cambria" w:hAnsi="Cambria"/>
          <w:b/>
          <w:bCs/>
          <w:u w:val="single"/>
          <w:lang w:val="cs-CZ"/>
        </w:rPr>
      </w:pPr>
    </w:p>
    <w:p w:rsidR="003C084A" w:rsidRPr="0063237B" w:rsidRDefault="003F20CB" w:rsidP="00524771">
      <w:pPr>
        <w:pStyle w:val="Vchoz"/>
        <w:spacing w:line="20" w:lineRule="atLeast"/>
        <w:contextualSpacing/>
        <w:jc w:val="both"/>
        <w:rPr>
          <w:rFonts w:ascii="Cambria" w:hAnsi="Cambria"/>
          <w:lang w:val="cs-CZ"/>
        </w:rPr>
      </w:pPr>
      <w:r w:rsidRPr="0063237B">
        <w:rPr>
          <w:rFonts w:ascii="Cambria" w:hAnsi="Cambria"/>
          <w:lang w:val="cs-CZ"/>
        </w:rPr>
        <w:t xml:space="preserve">Děkujeme Vám za zakoupení BenchWheel longboardu. </w:t>
      </w:r>
      <w:r w:rsidR="00133A0F" w:rsidRPr="0063237B">
        <w:rPr>
          <w:rFonts w:ascii="Cambria" w:hAnsi="Cambria"/>
          <w:lang w:val="cs-CZ"/>
        </w:rPr>
        <w:t>Uvědomt</w:t>
      </w:r>
      <w:r w:rsidRPr="0063237B">
        <w:rPr>
          <w:rFonts w:ascii="Cambria" w:hAnsi="Cambria"/>
          <w:lang w:val="cs-CZ"/>
        </w:rPr>
        <w:t>e si, že elektrický longboard není hračka a osvoj</w:t>
      </w:r>
      <w:r w:rsidR="0063237B" w:rsidRPr="0063237B">
        <w:rPr>
          <w:rFonts w:ascii="Cambria" w:hAnsi="Cambria"/>
          <w:lang w:val="cs-CZ"/>
        </w:rPr>
        <w:t>ení ovládání zabere určitý čas. Před používáním produktu se přesvědčte</w:t>
      </w:r>
      <w:r w:rsidR="0063237B">
        <w:rPr>
          <w:rFonts w:ascii="Cambria" w:hAnsi="Cambria"/>
          <w:lang w:val="cs-CZ"/>
        </w:rPr>
        <w:t>, že jste si řádně přečetl tento manuál a porozuměl instrukcím v něm obsaženým k používání tohoto produktu. Uživatelský manuál se zmiňuje o všech pokynech a instrukcích, uživatel je povinen důkladně si je přečíst a řídit se jimi. Naše společnost není zodpovědná za jakékoliv následky, které mohou být výsledkem špatného zacházení s tímto produktem. Pro další informace, nebo v případě doplňujících dotazů nás prosím kontaktujte na e-mailu info@powerguy.cz. Při zjištění jakékoliv závady či podezření na závadu, je zákazník povinen tuto závadu okamžitě nahlásit prodejci, který se postará o případnou reklamaci.</w:t>
      </w:r>
    </w:p>
    <w:p w:rsidR="00524771" w:rsidRPr="0063237B" w:rsidRDefault="00524771" w:rsidP="00524771">
      <w:pPr>
        <w:pStyle w:val="Vchoz"/>
        <w:spacing w:line="20" w:lineRule="atLeast"/>
        <w:contextualSpacing/>
        <w:jc w:val="both"/>
        <w:rPr>
          <w:rFonts w:ascii="Cambria" w:hAnsi="Cambria"/>
          <w:lang w:val="cs-CZ"/>
        </w:rPr>
      </w:pPr>
    </w:p>
    <w:p w:rsidR="00133A0F" w:rsidRPr="0063237B" w:rsidRDefault="00133A0F"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Před jízdou</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Ujistěte se, že je zařízení nabité.</w:t>
      </w:r>
      <w:r w:rsidR="005A59A5" w:rsidRPr="0063237B">
        <w:rPr>
          <w:rFonts w:ascii="Cambria" w:hAnsi="Cambria"/>
          <w:lang w:val="cs-CZ"/>
        </w:rPr>
        <w:t xml:space="preserve"> </w:t>
      </w:r>
      <w:r w:rsidRPr="0063237B">
        <w:rPr>
          <w:rFonts w:ascii="Cambria" w:hAnsi="Cambria"/>
          <w:lang w:val="cs-CZ"/>
        </w:rPr>
        <w:t>Používejte přiměřené bezpečnostní vybavení.</w:t>
      </w:r>
      <w:r w:rsidR="005A59A5" w:rsidRPr="0063237B">
        <w:rPr>
          <w:rFonts w:ascii="Cambria" w:hAnsi="Cambria"/>
          <w:lang w:val="cs-CZ"/>
        </w:rPr>
        <w:t xml:space="preserve"> </w:t>
      </w:r>
      <w:r w:rsidRPr="0063237B">
        <w:rPr>
          <w:rFonts w:ascii="Cambria" w:hAnsi="Cambria"/>
          <w:lang w:val="cs-CZ"/>
        </w:rPr>
        <w:t>Dejte pozor na své okolí.</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Jezděte v bezpečném prostředí.</w:t>
      </w:r>
      <w:r w:rsidR="005A59A5" w:rsidRPr="0063237B">
        <w:rPr>
          <w:rFonts w:ascii="Cambria" w:hAnsi="Cambria"/>
          <w:lang w:val="cs-CZ"/>
        </w:rPr>
        <w:t xml:space="preserve"> </w:t>
      </w:r>
      <w:r w:rsidRPr="0063237B">
        <w:rPr>
          <w:rFonts w:ascii="Cambria" w:hAnsi="Cambria"/>
          <w:lang w:val="cs-CZ"/>
        </w:rPr>
        <w:t>Dodržujte místní zákony a vyhlášky.</w:t>
      </w:r>
      <w:r w:rsidR="005A59A5" w:rsidRPr="0063237B">
        <w:rPr>
          <w:rFonts w:ascii="Cambria" w:hAnsi="Cambria"/>
          <w:lang w:val="cs-CZ"/>
        </w:rPr>
        <w:t xml:space="preserve"> </w:t>
      </w:r>
      <w:r w:rsidR="00133A0F" w:rsidRPr="0063237B">
        <w:rPr>
          <w:rFonts w:ascii="Cambria" w:hAnsi="Cambria"/>
          <w:lang w:val="cs-CZ"/>
        </w:rPr>
        <w:t>J</w:t>
      </w:r>
      <w:r w:rsidRPr="0063237B">
        <w:rPr>
          <w:rFonts w:ascii="Cambria" w:hAnsi="Cambria"/>
          <w:lang w:val="cs-CZ"/>
        </w:rPr>
        <w:t>ezděte bezpečně!</w:t>
      </w:r>
    </w:p>
    <w:p w:rsidR="005A59A5" w:rsidRPr="0063237B" w:rsidRDefault="005A59A5" w:rsidP="00524771">
      <w:pPr>
        <w:pStyle w:val="Vchoz"/>
        <w:spacing w:line="20" w:lineRule="atLeast"/>
        <w:contextualSpacing/>
        <w:rPr>
          <w:rFonts w:ascii="Cambria" w:hAnsi="Cambria"/>
          <w:lang w:val="cs-CZ"/>
        </w:rPr>
      </w:pPr>
    </w:p>
    <w:p w:rsidR="003C084A" w:rsidRPr="0063237B" w:rsidRDefault="005A59A5" w:rsidP="00524771">
      <w:pPr>
        <w:pStyle w:val="Vchoz"/>
        <w:spacing w:line="20" w:lineRule="atLeast"/>
        <w:contextualSpacing/>
        <w:rPr>
          <w:rFonts w:ascii="Cambria" w:hAnsi="Cambria"/>
          <w:b/>
          <w:bCs/>
          <w:lang w:val="cs-CZ"/>
        </w:rPr>
      </w:pPr>
      <w:r w:rsidRPr="0063237B">
        <w:rPr>
          <w:rFonts w:ascii="Cambria" w:hAnsi="Cambria"/>
          <w:b/>
          <w:bCs/>
          <w:lang w:val="cs-CZ"/>
        </w:rPr>
        <w:t>ZAČÍNÁME</w:t>
      </w:r>
    </w:p>
    <w:p w:rsidR="00133A0F" w:rsidRPr="0063237B" w:rsidRDefault="00133A0F"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Nabíjení</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Longboard a ovladač musejí být před prvním užitím plně nabity. Ujistěte se, že longboard i ovladač jsou vypnuté během nabíjení.</w:t>
      </w:r>
    </w:p>
    <w:p w:rsidR="005A59A5" w:rsidRPr="0063237B" w:rsidRDefault="003F20CB" w:rsidP="00524771">
      <w:pPr>
        <w:pStyle w:val="Vchoz"/>
        <w:spacing w:line="20" w:lineRule="atLeast"/>
        <w:contextualSpacing/>
        <w:rPr>
          <w:rFonts w:ascii="Cambria" w:hAnsi="Cambria"/>
          <w:lang w:val="cs-CZ"/>
        </w:rPr>
      </w:pPr>
      <w:r w:rsidRPr="0063237B">
        <w:rPr>
          <w:rFonts w:ascii="Cambria" w:hAnsi="Cambria"/>
          <w:i/>
          <w:iCs/>
          <w:lang w:val="cs-CZ"/>
        </w:rPr>
        <w:t>Poznámka: Použítí jiné nabíječky může způsobit poškození základní desky nebo baterky a tedy ztrátu záruky.</w:t>
      </w:r>
      <w:r w:rsidR="005A59A5" w:rsidRPr="0063237B">
        <w:rPr>
          <w:rFonts w:ascii="Cambria" w:hAnsi="Cambria"/>
          <w:lang w:val="cs-CZ"/>
        </w:rPr>
        <w:t xml:space="preserve"> </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Prosím kontaktujte nás, pokud potřebujete náhradní nabíječku.</w:t>
      </w:r>
    </w:p>
    <w:p w:rsidR="005A59A5" w:rsidRPr="0063237B" w:rsidRDefault="005A59A5" w:rsidP="00524771">
      <w:pPr>
        <w:pStyle w:val="Vchoz"/>
        <w:spacing w:line="20" w:lineRule="atLeast"/>
        <w:contextualSpacing/>
        <w:rPr>
          <w:rFonts w:ascii="Cambria" w:hAnsi="Cambria"/>
          <w:lang w:val="cs-CZ"/>
        </w:rPr>
      </w:pPr>
    </w:p>
    <w:p w:rsidR="003C084A" w:rsidRPr="0063237B" w:rsidRDefault="003F20CB" w:rsidP="00524771">
      <w:pPr>
        <w:pStyle w:val="Vchoz"/>
        <w:numPr>
          <w:ilvl w:val="0"/>
          <w:numId w:val="10"/>
        </w:numPr>
        <w:spacing w:line="20" w:lineRule="atLeast"/>
        <w:contextualSpacing/>
        <w:rPr>
          <w:rFonts w:ascii="Cambria" w:hAnsi="Cambria"/>
          <w:b/>
          <w:lang w:val="cs-CZ"/>
        </w:rPr>
      </w:pPr>
      <w:r w:rsidRPr="0063237B">
        <w:rPr>
          <w:rFonts w:ascii="Cambria" w:hAnsi="Cambria"/>
          <w:b/>
          <w:u w:val="single"/>
          <w:lang w:val="cs-CZ"/>
        </w:rPr>
        <w:t>Nabíjení longboardu</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 xml:space="preserve">K nabíjení používejte pouze nabíječku, která byla součástí balení. </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Před nabíjením longboard vypněte.</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Zapojte nabíjecí kabel do elektrické zdířky na longboardu.</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Světlo na nabíječce svítí červeně při nabíjení a zeleně, pokud je longboard plně nabitý. Po úspěšném nabití odejměte nabíjecí kabel ze zdířky.</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Plné nabití trvá standartně 3 hodiny.</w:t>
      </w:r>
    </w:p>
    <w:p w:rsidR="005A59A5" w:rsidRPr="0063237B" w:rsidRDefault="005A59A5" w:rsidP="00524771">
      <w:pPr>
        <w:pStyle w:val="Vchoz"/>
        <w:spacing w:line="20" w:lineRule="atLeast"/>
        <w:contextualSpacing/>
        <w:rPr>
          <w:rFonts w:ascii="Cambria" w:hAnsi="Cambria"/>
          <w:lang w:val="cs-CZ"/>
        </w:rPr>
      </w:pPr>
    </w:p>
    <w:p w:rsidR="003C084A" w:rsidRPr="0063237B" w:rsidRDefault="003F20CB" w:rsidP="00524771">
      <w:pPr>
        <w:pStyle w:val="Vchoz"/>
        <w:numPr>
          <w:ilvl w:val="0"/>
          <w:numId w:val="10"/>
        </w:numPr>
        <w:spacing w:line="20" w:lineRule="atLeast"/>
        <w:contextualSpacing/>
        <w:rPr>
          <w:rFonts w:ascii="Cambria" w:hAnsi="Cambria"/>
          <w:b/>
          <w:lang w:val="cs-CZ"/>
        </w:rPr>
      </w:pPr>
      <w:r w:rsidRPr="0063237B">
        <w:rPr>
          <w:rFonts w:ascii="Cambria" w:hAnsi="Cambria"/>
          <w:b/>
          <w:u w:val="single"/>
          <w:lang w:val="cs-CZ"/>
        </w:rPr>
        <w:t>Nabijení dálkového ovládání</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K nabíjení ovladače se používá standartní micro USB kabel.</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 xml:space="preserve">Zapojte nabíjecí USB kabel, který byl součástí balení, do spodní strany dálkového ovládání. Ujistěte se, že zapojujete kabel správným koncem. </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Druhý konec nabíjecího USB kabelu zapojte do nabíječky a umístěte do nabíjecí zdířky. Standartnídoba do úplného nabití je 2 hodiny.</w:t>
      </w:r>
    </w:p>
    <w:p w:rsidR="005A59A5" w:rsidRPr="0063237B" w:rsidRDefault="005A59A5" w:rsidP="00524771">
      <w:pPr>
        <w:pStyle w:val="Vchoz"/>
        <w:spacing w:line="20" w:lineRule="atLeast"/>
        <w:contextualSpacing/>
        <w:rPr>
          <w:rFonts w:ascii="Cambria" w:hAnsi="Cambria"/>
          <w:lang w:val="cs-CZ"/>
        </w:rPr>
      </w:pPr>
    </w:p>
    <w:p w:rsidR="005A59A5" w:rsidRPr="0063237B" w:rsidRDefault="005A59A5" w:rsidP="00524771">
      <w:pPr>
        <w:pStyle w:val="Vchoz"/>
        <w:spacing w:line="20" w:lineRule="atLeast"/>
        <w:contextualSpacing/>
        <w:rPr>
          <w:rFonts w:ascii="Cambria" w:hAnsi="Cambria"/>
          <w:lang w:val="cs-CZ"/>
        </w:rPr>
      </w:pPr>
    </w:p>
    <w:p w:rsidR="005A59A5" w:rsidRPr="0063237B" w:rsidRDefault="005A59A5" w:rsidP="00524771">
      <w:pPr>
        <w:pStyle w:val="Vchoz"/>
        <w:spacing w:line="20" w:lineRule="atLeast"/>
        <w:contextualSpacing/>
        <w:rPr>
          <w:rFonts w:ascii="Cambria" w:hAnsi="Cambria"/>
          <w:lang w:val="cs-CZ"/>
        </w:rPr>
      </w:pPr>
    </w:p>
    <w:p w:rsidR="005A59A5" w:rsidRPr="0063237B" w:rsidRDefault="005A59A5"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Párování</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Před prvním použitím musí být longboard a ovladač spárovány.</w:t>
      </w:r>
    </w:p>
    <w:p w:rsidR="003C084A" w:rsidRPr="0063237B" w:rsidRDefault="003F20CB" w:rsidP="00524771">
      <w:pPr>
        <w:pStyle w:val="Vchoz"/>
        <w:spacing w:line="20" w:lineRule="atLeast"/>
        <w:contextualSpacing/>
        <w:rPr>
          <w:rFonts w:ascii="Cambria" w:hAnsi="Cambria"/>
          <w:u w:val="single"/>
          <w:lang w:val="cs-CZ"/>
        </w:rPr>
      </w:pPr>
      <w:r w:rsidRPr="0063237B">
        <w:rPr>
          <w:rFonts w:ascii="Cambria" w:hAnsi="Cambria"/>
          <w:lang w:val="cs-CZ"/>
        </w:rPr>
        <w:br/>
      </w:r>
      <w:r w:rsidRPr="0063237B">
        <w:rPr>
          <w:rFonts w:ascii="Cambria" w:hAnsi="Cambria"/>
          <w:u w:val="single"/>
          <w:lang w:val="cs-CZ"/>
        </w:rPr>
        <w:t xml:space="preserve">1. krok: </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Před započetím procesu se ujistěte, že ovladač i longboard jsou vypnuty.</w:t>
      </w:r>
    </w:p>
    <w:p w:rsidR="003C084A" w:rsidRPr="0063237B" w:rsidRDefault="003F20CB" w:rsidP="00524771">
      <w:pPr>
        <w:pStyle w:val="Vchoz"/>
        <w:numPr>
          <w:ilvl w:val="0"/>
          <w:numId w:val="2"/>
        </w:numPr>
        <w:spacing w:line="20" w:lineRule="atLeast"/>
        <w:contextualSpacing/>
        <w:rPr>
          <w:rFonts w:ascii="Cambria" w:hAnsi="Cambria"/>
          <w:i/>
          <w:iCs/>
          <w:lang w:val="cs-CZ"/>
        </w:rPr>
      </w:pPr>
      <w:r w:rsidRPr="0063237B">
        <w:rPr>
          <w:rFonts w:ascii="Cambria" w:hAnsi="Cambria"/>
          <w:i/>
          <w:iCs/>
          <w:lang w:val="cs-CZ"/>
        </w:rPr>
        <w:t>Zmáčkněte a krátce držte červené tlačítko na ovladači, dokud se všechny LED světla nevypnou.</w:t>
      </w:r>
    </w:p>
    <w:p w:rsidR="003C084A" w:rsidRPr="0063237B" w:rsidRDefault="003F20CB" w:rsidP="00524771">
      <w:pPr>
        <w:pStyle w:val="Vchoz"/>
        <w:numPr>
          <w:ilvl w:val="0"/>
          <w:numId w:val="2"/>
        </w:numPr>
        <w:spacing w:line="20" w:lineRule="atLeast"/>
        <w:contextualSpacing/>
        <w:rPr>
          <w:rFonts w:ascii="Cambria" w:hAnsi="Cambria"/>
          <w:i/>
          <w:iCs/>
          <w:lang w:val="cs-CZ"/>
        </w:rPr>
      </w:pPr>
      <w:r w:rsidRPr="0063237B">
        <w:rPr>
          <w:rFonts w:ascii="Cambria" w:hAnsi="Cambria"/>
          <w:i/>
          <w:iCs/>
          <w:lang w:val="cs-CZ"/>
        </w:rPr>
        <w:t>Zmáčkněte a krátce držte červené tlačítko na longboardu, dokud se všechny světla nevypnou.</w:t>
      </w:r>
    </w:p>
    <w:p w:rsidR="00524771" w:rsidRPr="0063237B" w:rsidRDefault="00524771" w:rsidP="00524771">
      <w:pPr>
        <w:pStyle w:val="Vchoz"/>
        <w:spacing w:line="20" w:lineRule="atLeast"/>
        <w:ind w:left="262"/>
        <w:contextualSpacing/>
        <w:rPr>
          <w:rFonts w:ascii="Cambria" w:hAnsi="Cambria"/>
          <w:i/>
          <w:iCs/>
          <w:lang w:val="cs-CZ"/>
        </w:rPr>
      </w:pPr>
    </w:p>
    <w:p w:rsidR="003C084A" w:rsidRPr="0063237B" w:rsidRDefault="003F20CB" w:rsidP="00524771">
      <w:pPr>
        <w:pStyle w:val="Vchoz"/>
        <w:spacing w:line="20" w:lineRule="atLeast"/>
        <w:contextualSpacing/>
        <w:rPr>
          <w:rFonts w:ascii="Cambria" w:hAnsi="Cambria"/>
          <w:u w:val="single"/>
          <w:lang w:val="cs-CZ"/>
        </w:rPr>
      </w:pPr>
      <w:r w:rsidRPr="0063237B">
        <w:rPr>
          <w:rFonts w:ascii="Cambria" w:hAnsi="Cambria"/>
          <w:u w:val="single"/>
          <w:lang w:val="cs-CZ"/>
        </w:rPr>
        <w:t>2. krok</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lastRenderedPageBreak/>
        <w:t>Zmáčkněte a držte tlačítko napájení na longboardu i na ovladači, dokud neuslyšíte tři pípnutí (jedno dlouhé pípnutí a o pár sekund později dvě krátká pípnutí)</w:t>
      </w:r>
    </w:p>
    <w:p w:rsidR="00524771" w:rsidRPr="0063237B" w:rsidRDefault="00524771"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u w:val="single"/>
          <w:lang w:val="cs-CZ"/>
        </w:rPr>
      </w:pPr>
      <w:r w:rsidRPr="0063237B">
        <w:rPr>
          <w:rFonts w:ascii="Cambria" w:hAnsi="Cambria"/>
          <w:u w:val="single"/>
          <w:lang w:val="cs-CZ"/>
        </w:rPr>
        <w:t>3. krok</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Vypněte longboard.</w:t>
      </w:r>
      <w:r w:rsidR="00524771" w:rsidRPr="0063237B">
        <w:rPr>
          <w:rFonts w:ascii="Cambria" w:hAnsi="Cambria"/>
          <w:lang w:val="cs-CZ"/>
        </w:rPr>
        <w:t xml:space="preserve"> </w:t>
      </w:r>
      <w:r w:rsidRPr="0063237B">
        <w:rPr>
          <w:rFonts w:ascii="Cambria" w:hAnsi="Cambria"/>
          <w:lang w:val="cs-CZ"/>
        </w:rPr>
        <w:t>Vypněte ovladač.</w:t>
      </w:r>
      <w:r w:rsidR="00524771" w:rsidRPr="0063237B">
        <w:rPr>
          <w:rFonts w:ascii="Cambria" w:hAnsi="Cambria"/>
          <w:lang w:val="cs-CZ"/>
        </w:rPr>
        <w:t xml:space="preserve"> </w:t>
      </w:r>
      <w:r w:rsidRPr="0063237B">
        <w:rPr>
          <w:rFonts w:ascii="Cambria" w:hAnsi="Cambria"/>
          <w:lang w:val="cs-CZ"/>
        </w:rPr>
        <w:t>Oboje znovu zapněte.</w:t>
      </w:r>
      <w:r w:rsidR="00524771" w:rsidRPr="0063237B">
        <w:rPr>
          <w:rFonts w:ascii="Cambria" w:hAnsi="Cambria"/>
          <w:lang w:val="cs-CZ"/>
        </w:rPr>
        <w:t xml:space="preserve"> </w:t>
      </w:r>
      <w:r w:rsidRPr="0063237B">
        <w:rPr>
          <w:rFonts w:ascii="Cambria" w:hAnsi="Cambria"/>
          <w:lang w:val="cs-CZ"/>
        </w:rPr>
        <w:t>Longboard a dálkové ovládání jsou nyní spárované.</w:t>
      </w:r>
      <w:r w:rsidR="00524771" w:rsidRPr="0063237B">
        <w:rPr>
          <w:rFonts w:ascii="Cambria" w:hAnsi="Cambria"/>
          <w:lang w:val="cs-CZ"/>
        </w:rPr>
        <w:t xml:space="preserve"> </w:t>
      </w:r>
      <w:r w:rsidRPr="0063237B">
        <w:rPr>
          <w:rFonts w:ascii="Cambria" w:hAnsi="Cambria"/>
          <w:lang w:val="cs-CZ"/>
        </w:rPr>
        <w:t>Pokud spárování neproběhlo úspěšně, opakujte proces od prvního bodu, dokud spárování neproběhne v pořádku.</w:t>
      </w:r>
    </w:p>
    <w:p w:rsidR="00524771" w:rsidRPr="0063237B" w:rsidRDefault="00524771"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Testování spárování</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Můžete spárování otestovat tím, že položíte longboard na hranu a stlačíte pohybový ovladač, dokud se nezačnou otáčet kolečka.</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Nyní je longboard připraven k použití.</w:t>
      </w:r>
    </w:p>
    <w:p w:rsidR="00524771" w:rsidRPr="0063237B" w:rsidRDefault="00524771"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Před jízdou</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Před jízdou krátce vizuálně zkontrolujte, zda je longboard v pořádku a vybavení není poškozené.</w:t>
      </w:r>
    </w:p>
    <w:p w:rsidR="003C084A"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Ujistěte se, že máte přiměřené bezpečnostní vybavení.</w:t>
      </w:r>
    </w:p>
    <w:p w:rsidR="00133A0F"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Najděte bezpečné prostředí pro používání longboardu.</w:t>
      </w:r>
    </w:p>
    <w:p w:rsidR="00524771" w:rsidRPr="0063237B" w:rsidRDefault="00524771" w:rsidP="00524771">
      <w:pPr>
        <w:pStyle w:val="Vchoz"/>
        <w:spacing w:line="20" w:lineRule="atLeast"/>
        <w:ind w:left="360"/>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lang w:val="cs-CZ"/>
        </w:rPr>
      </w:pPr>
      <w:r w:rsidRPr="0063237B">
        <w:rPr>
          <w:rFonts w:ascii="Cambria" w:hAnsi="Cambria"/>
          <w:b/>
          <w:highlight w:val="red"/>
          <w:u w:val="single"/>
          <w:lang w:val="cs-CZ"/>
        </w:rPr>
        <w:t>První jízda</w:t>
      </w:r>
    </w:p>
    <w:p w:rsidR="00133A0F"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 xml:space="preserve">Zapněte longboard i ovladač a zkontrolujte, zda všechno běží hladce. Spusťte brzdy stlačením pohybového ovladače směrem zpět. Stoupněte si na longboard, balancujte a </w:t>
      </w:r>
      <w:r w:rsidRPr="0063237B">
        <w:rPr>
          <w:rFonts w:ascii="Cambria" w:hAnsi="Cambria"/>
          <w:u w:val="single"/>
          <w:lang w:val="cs-CZ"/>
        </w:rPr>
        <w:t>jemně</w:t>
      </w:r>
      <w:r w:rsidRPr="0063237B">
        <w:rPr>
          <w:rFonts w:ascii="Cambria" w:hAnsi="Cambria"/>
          <w:lang w:val="cs-CZ"/>
        </w:rPr>
        <w:t xml:space="preserve"> stlačte pohybový ovladač dopředu, než se longboard rozjede. Čím víc tlačíte na ovladač, tím rychleji pojedete. Stlačením pohybového ovladače směrem zpět začnete brzdit. Cvičte pomalou jízdu vpřed, dokud se nebudete cítit pohodlně. Poté zkuste zatáčet. Navrhujeme nejprve učení s kamarádem, aby jste v případě pádu měli podporu. Většina uživatelů je schopná jízdy během krátké doby. Je to jednodušší, než si myslíte!</w:t>
      </w:r>
    </w:p>
    <w:p w:rsidR="00524771" w:rsidRPr="0063237B" w:rsidRDefault="00524771" w:rsidP="00524771">
      <w:pPr>
        <w:pStyle w:val="Vchoz"/>
        <w:spacing w:line="20" w:lineRule="atLeast"/>
        <w:contextualSpacing/>
        <w:rPr>
          <w:rFonts w:ascii="Cambria" w:hAnsi="Cambria"/>
          <w:lang w:val="cs-CZ"/>
        </w:rPr>
      </w:pPr>
    </w:p>
    <w:p w:rsidR="003C084A" w:rsidRPr="0063237B" w:rsidRDefault="003F20CB" w:rsidP="00524771">
      <w:pPr>
        <w:pStyle w:val="Vchoz"/>
        <w:spacing w:line="20" w:lineRule="atLeast"/>
        <w:contextualSpacing/>
        <w:rPr>
          <w:rFonts w:ascii="Cambria" w:hAnsi="Cambria"/>
          <w:b/>
          <w:u w:val="single"/>
          <w:lang w:val="cs-CZ"/>
        </w:rPr>
      </w:pPr>
      <w:r w:rsidRPr="0063237B">
        <w:rPr>
          <w:rFonts w:ascii="Cambria" w:hAnsi="Cambria"/>
          <w:b/>
          <w:highlight w:val="red"/>
          <w:u w:val="single"/>
          <w:lang w:val="cs-CZ"/>
        </w:rPr>
        <w:t>Základní jízdní rady</w:t>
      </w:r>
    </w:p>
    <w:p w:rsidR="00524771" w:rsidRPr="0063237B" w:rsidRDefault="003F20CB" w:rsidP="00524771">
      <w:pPr>
        <w:pStyle w:val="Vchoz"/>
        <w:spacing w:line="20" w:lineRule="atLeast"/>
        <w:contextualSpacing/>
        <w:rPr>
          <w:rFonts w:ascii="Cambria" w:hAnsi="Cambria"/>
          <w:lang w:val="cs-CZ"/>
        </w:rPr>
      </w:pPr>
      <w:r w:rsidRPr="0063237B">
        <w:rPr>
          <w:rFonts w:ascii="Cambria" w:hAnsi="Cambria"/>
          <w:lang w:val="cs-CZ"/>
        </w:rPr>
        <w:t>Nezapoměnte při nástupu na longboard stlačit pohybový ovladač směrem zpět k zabrždění.  Pomáhá to k snadnějšímu nástupu na longboard. Měli byste umístit do zadní části longboardu nohu, kterou kopete. Druhou nohu dejte do přední části longboardu. Udržujte rychlost, která se Vám zdá bezpečná, dokud nezískáte více zkušeností. Zatáčení probíhá stejně jako na klasickém longboardu.</w:t>
      </w:r>
    </w:p>
    <w:p w:rsidR="00524771" w:rsidRPr="0063237B" w:rsidRDefault="00524771" w:rsidP="00524771">
      <w:pPr>
        <w:pStyle w:val="Vchoz"/>
        <w:spacing w:line="20" w:lineRule="atLeast"/>
        <w:contextualSpacing/>
        <w:rPr>
          <w:rFonts w:ascii="Cambria" w:hAnsi="Cambria"/>
          <w:lang w:val="cs-CZ"/>
        </w:rPr>
      </w:pPr>
    </w:p>
    <w:p w:rsidR="00524771" w:rsidRPr="0063237B" w:rsidRDefault="00524771" w:rsidP="00524771">
      <w:pPr>
        <w:pStyle w:val="Vchoz"/>
        <w:spacing w:line="20" w:lineRule="atLeast"/>
        <w:contextualSpacing/>
        <w:rPr>
          <w:rFonts w:ascii="Cambria" w:hAnsi="Cambria"/>
          <w:lang w:val="cs-CZ"/>
        </w:rPr>
      </w:pPr>
    </w:p>
    <w:p w:rsidR="003C084A" w:rsidRPr="0063237B" w:rsidRDefault="005A59A5" w:rsidP="00524771">
      <w:pPr>
        <w:pStyle w:val="Vchoz"/>
        <w:spacing w:line="20" w:lineRule="atLeast"/>
        <w:contextualSpacing/>
        <w:rPr>
          <w:rFonts w:ascii="Cambria" w:hAnsi="Cambria"/>
          <w:lang w:val="cs-CZ"/>
        </w:rPr>
      </w:pPr>
      <w:r w:rsidRPr="0063237B">
        <w:rPr>
          <w:rFonts w:ascii="Cambria" w:hAnsi="Cambria"/>
          <w:b/>
          <w:bCs/>
          <w:lang w:val="cs-CZ"/>
        </w:rPr>
        <w:t>KOMPONENTY</w:t>
      </w:r>
    </w:p>
    <w:p w:rsidR="00BE74E0" w:rsidRPr="0063237B" w:rsidRDefault="00BE74E0" w:rsidP="00524771">
      <w:pPr>
        <w:pStyle w:val="Vchoz"/>
        <w:spacing w:after="240" w:line="20" w:lineRule="atLeast"/>
        <w:contextualSpacing/>
        <w:rPr>
          <w:rFonts w:ascii="Cambria" w:hAnsi="Cambria"/>
          <w:lang w:val="cs-CZ"/>
        </w:rPr>
      </w:pPr>
    </w:p>
    <w:p w:rsidR="003C084A" w:rsidRPr="0063237B" w:rsidRDefault="003F20CB" w:rsidP="00524771">
      <w:pPr>
        <w:pStyle w:val="Vchoz"/>
        <w:spacing w:after="240" w:line="20" w:lineRule="atLeast"/>
        <w:contextualSpacing/>
        <w:rPr>
          <w:rFonts w:ascii="Cambria" w:hAnsi="Cambria"/>
          <w:lang w:val="cs-CZ"/>
        </w:rPr>
      </w:pPr>
      <w:r w:rsidRPr="0063237B">
        <w:rPr>
          <w:rFonts w:ascii="Cambria" w:eastAsia="Times" w:hAnsi="Cambria" w:cs="Times"/>
          <w:noProof/>
          <w:lang w:val="cs-CZ"/>
        </w:rPr>
        <w:drawing>
          <wp:inline distT="0" distB="0" distL="0" distR="0">
            <wp:extent cx="5633050" cy="1939147"/>
            <wp:effectExtent l="0" t="19050" r="2480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7image1472.png"/>
                    <pic:cNvPicPr>
                      <a:picLocks noChangeAspect="1"/>
                    </pic:cNvPicPr>
                  </pic:nvPicPr>
                  <pic:blipFill>
                    <a:blip r:embed="rId8" cstate="print">
                      <a:clrChange>
                        <a:clrFrom>
                          <a:srgbClr val="FF8081"/>
                        </a:clrFrom>
                        <a:clrTo>
                          <a:srgbClr val="FF8081">
                            <a:alpha val="0"/>
                          </a:srgbClr>
                        </a:clrTo>
                      </a:clrChange>
                      <a:duotone>
                        <a:prstClr val="black"/>
                        <a:schemeClr val="tx2">
                          <a:tint val="45000"/>
                          <a:satMod val="400000"/>
                        </a:schemeClr>
                      </a:duotone>
                      <a:extLst/>
                    </a:blip>
                    <a:stretch>
                      <a:fillRect/>
                    </a:stretch>
                  </pic:blipFill>
                  <pic:spPr>
                    <a:xfrm>
                      <a:off x="0" y="0"/>
                      <a:ext cx="5645379" cy="1943391"/>
                    </a:xfrm>
                    <a:prstGeom prst="rect">
                      <a:avLst/>
                    </a:prstGeom>
                    <a:ln w="12700" cap="flat">
                      <a:noFill/>
                      <a:miter lim="400000"/>
                    </a:ln>
                    <a:effectLst/>
                    <a:scene3d>
                      <a:camera prst="orthographicFront">
                        <a:rot lat="0" lon="0" rev="0"/>
                      </a:camera>
                      <a:lightRig rig="threePt" dir="t"/>
                    </a:scene3d>
                  </pic:spPr>
                </pic:pic>
              </a:graphicData>
            </a:graphic>
          </wp:inline>
        </w:drawing>
      </w:r>
    </w:p>
    <w:p w:rsidR="00BE74E0" w:rsidRPr="0063237B" w:rsidRDefault="00BE74E0" w:rsidP="00524771">
      <w:pPr>
        <w:pStyle w:val="Vchoz"/>
        <w:numPr>
          <w:ilvl w:val="0"/>
          <w:numId w:val="5"/>
        </w:numPr>
        <w:spacing w:after="240" w:line="20" w:lineRule="atLeast"/>
        <w:contextualSpacing/>
        <w:rPr>
          <w:rFonts w:ascii="Cambria" w:hAnsi="Cambria"/>
          <w:lang w:val="cs-CZ"/>
        </w:rPr>
        <w:sectPr w:rsidR="00BE74E0" w:rsidRPr="0063237B" w:rsidSect="005A59A5">
          <w:headerReference w:type="default" r:id="rId9"/>
          <w:footerReference w:type="default" r:id="rId10"/>
          <w:pgSz w:w="11906" w:h="16838"/>
          <w:pgMar w:top="284" w:right="1134" w:bottom="1134" w:left="1134" w:header="709" w:footer="850" w:gutter="0"/>
          <w:cols w:space="708"/>
        </w:sectPr>
      </w:pP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lastRenderedPageBreak/>
        <w:t>Deska</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Napájený podvozek</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Zástrčka</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Nabíjecí port</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Nenapájený podvozek</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lastRenderedPageBreak/>
        <w:t>Hliníkový rám</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Napájecí tlačítko</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Lithium-Ion baterie</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Modul chránící baterku</w:t>
      </w:r>
    </w:p>
    <w:p w:rsidR="003C084A" w:rsidRPr="0063237B" w:rsidRDefault="003F20CB" w:rsidP="00524771">
      <w:pPr>
        <w:pStyle w:val="Vchoz"/>
        <w:numPr>
          <w:ilvl w:val="0"/>
          <w:numId w:val="5"/>
        </w:numPr>
        <w:spacing w:after="240" w:line="20" w:lineRule="atLeast"/>
        <w:contextualSpacing/>
        <w:rPr>
          <w:rFonts w:ascii="Cambria" w:hAnsi="Cambria"/>
          <w:sz w:val="20"/>
          <w:szCs w:val="20"/>
          <w:lang w:val="cs-CZ"/>
        </w:rPr>
      </w:pPr>
      <w:r w:rsidRPr="0063237B">
        <w:rPr>
          <w:rFonts w:ascii="Cambria" w:hAnsi="Cambria"/>
          <w:sz w:val="20"/>
          <w:szCs w:val="20"/>
          <w:lang w:val="cs-CZ"/>
        </w:rPr>
        <w:t>Základní deska</w:t>
      </w:r>
    </w:p>
    <w:p w:rsidR="00BE74E0" w:rsidRPr="0063237B" w:rsidRDefault="00BE74E0" w:rsidP="00524771">
      <w:pPr>
        <w:pStyle w:val="Vchoz"/>
        <w:spacing w:after="240" w:line="20" w:lineRule="atLeast"/>
        <w:contextualSpacing/>
        <w:rPr>
          <w:rFonts w:ascii="Cambria" w:hAnsi="Cambria"/>
          <w:lang w:val="cs-CZ"/>
        </w:rPr>
        <w:sectPr w:rsidR="00BE74E0" w:rsidRPr="0063237B" w:rsidSect="00BE74E0">
          <w:type w:val="continuous"/>
          <w:pgSz w:w="11906" w:h="16838"/>
          <w:pgMar w:top="1134" w:right="1134" w:bottom="1134" w:left="1134" w:header="709" w:footer="850" w:gutter="0"/>
          <w:cols w:num="2" w:space="708"/>
        </w:sectPr>
      </w:pPr>
    </w:p>
    <w:p w:rsidR="003C084A" w:rsidRPr="0063237B" w:rsidRDefault="00BE74E0" w:rsidP="00524771">
      <w:pPr>
        <w:pStyle w:val="Vchoz"/>
        <w:spacing w:after="240" w:line="20" w:lineRule="atLeast"/>
        <w:contextualSpacing/>
        <w:rPr>
          <w:rFonts w:ascii="Cambria" w:hAnsi="Cambria"/>
          <w:lang w:val="cs-CZ"/>
        </w:rPr>
      </w:pPr>
      <w:r w:rsidRPr="0063237B">
        <w:rPr>
          <w:rFonts w:ascii="Cambria" w:hAnsi="Cambria"/>
          <w:noProof/>
          <w:lang w:val="cs-CZ"/>
        </w:rPr>
        <w:lastRenderedPageBreak/>
        <w:drawing>
          <wp:anchor distT="0" distB="0" distL="114300" distR="114300" simplePos="0" relativeHeight="251658240" behindDoc="1" locked="0" layoutInCell="1" allowOverlap="1">
            <wp:simplePos x="0" y="0"/>
            <wp:positionH relativeFrom="column">
              <wp:posOffset>-123190</wp:posOffset>
            </wp:positionH>
            <wp:positionV relativeFrom="paragraph">
              <wp:posOffset>142240</wp:posOffset>
            </wp:positionV>
            <wp:extent cx="5906770" cy="2958465"/>
            <wp:effectExtent l="19050" t="0" r="0" b="0"/>
            <wp:wrapTight wrapText="bothSides">
              <wp:wrapPolygon edited="0">
                <wp:start x="-70" y="0"/>
                <wp:lineTo x="-70" y="21419"/>
                <wp:lineTo x="21595" y="21419"/>
                <wp:lineTo x="21595" y="0"/>
                <wp:lineTo x="-7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8image1432.jpg"/>
                    <pic:cNvPicPr>
                      <a:picLocks noChangeAspect="1"/>
                    </pic:cNvPicPr>
                  </pic:nvPicPr>
                  <pic:blipFill>
                    <a:blip r:embed="rId11">
                      <a:extLst/>
                    </a:blip>
                    <a:stretch>
                      <a:fillRect/>
                    </a:stretch>
                  </pic:blipFill>
                  <pic:spPr>
                    <a:xfrm>
                      <a:off x="0" y="0"/>
                      <a:ext cx="5906770" cy="2958465"/>
                    </a:xfrm>
                    <a:prstGeom prst="rect">
                      <a:avLst/>
                    </a:prstGeom>
                    <a:ln w="12700" cap="flat">
                      <a:noFill/>
                      <a:miter lim="400000"/>
                    </a:ln>
                    <a:effectLst/>
                  </pic:spPr>
                </pic:pic>
              </a:graphicData>
            </a:graphic>
          </wp:anchor>
        </w:drawing>
      </w:r>
    </w:p>
    <w:p w:rsidR="00BE74E0" w:rsidRPr="0063237B" w:rsidRDefault="00BE74E0" w:rsidP="00524771">
      <w:pPr>
        <w:pStyle w:val="Vchoz"/>
        <w:spacing w:line="20" w:lineRule="atLeast"/>
        <w:contextualSpacing/>
        <w:rPr>
          <w:rFonts w:ascii="Cambria" w:hAnsi="Cambria"/>
          <w:lang w:val="cs-CZ"/>
        </w:rPr>
        <w:sectPr w:rsidR="00BE74E0" w:rsidRPr="0063237B" w:rsidSect="00BE74E0">
          <w:type w:val="continuous"/>
          <w:pgSz w:w="11906" w:h="16838"/>
          <w:pgMar w:top="1134" w:right="1134" w:bottom="1134" w:left="1134" w:header="709" w:footer="850" w:gutter="0"/>
          <w:cols w:space="708"/>
        </w:sectPr>
      </w:pPr>
    </w:p>
    <w:p w:rsidR="003C084A" w:rsidRPr="0063237B" w:rsidRDefault="003C084A" w:rsidP="00524771">
      <w:pPr>
        <w:pStyle w:val="Vchoz"/>
        <w:spacing w:line="20" w:lineRule="atLeast"/>
        <w:contextualSpacing/>
        <w:rPr>
          <w:rFonts w:ascii="Cambria" w:hAnsi="Cambria"/>
          <w:lang w:val="cs-CZ"/>
        </w:rPr>
      </w:pP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Synchronizované kolečko</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Kryt</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Synchronizovaná řemenice</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Držák motoru</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 xml:space="preserve">Bezkartáčový stejnosměrný motor </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Podložka podvozku</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Pružná podložka</w:t>
      </w:r>
    </w:p>
    <w:p w:rsidR="00524771"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Držák</w:t>
      </w: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Podvozkový šroub</w:t>
      </w:r>
    </w:p>
    <w:p w:rsidR="00170D1F"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Podvozek</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Pružná podložka</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Matice</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Těsnící objímka</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Těsnící objímka</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Šroub</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Ložisko</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Matice</w:t>
      </w:r>
    </w:p>
    <w:p w:rsidR="00BE74E0" w:rsidRPr="0063237B" w:rsidRDefault="00BE74E0" w:rsidP="00524771">
      <w:pPr>
        <w:pStyle w:val="Vchoz"/>
        <w:spacing w:line="20" w:lineRule="atLeast"/>
        <w:contextualSpacing/>
        <w:rPr>
          <w:rFonts w:ascii="Cambria" w:hAnsi="Cambria"/>
          <w:lang w:val="cs-CZ"/>
        </w:rPr>
        <w:sectPr w:rsidR="00BE74E0" w:rsidRPr="0063237B" w:rsidSect="00BE74E0">
          <w:type w:val="continuous"/>
          <w:pgSz w:w="11906" w:h="16838"/>
          <w:pgMar w:top="1134" w:right="1134" w:bottom="1134" w:left="1134" w:header="709" w:footer="850" w:gutter="0"/>
          <w:cols w:num="2" w:space="708"/>
        </w:sectPr>
      </w:pPr>
    </w:p>
    <w:p w:rsidR="00524771" w:rsidRPr="0063237B" w:rsidRDefault="00524771" w:rsidP="00524771">
      <w:pPr>
        <w:pStyle w:val="Vchoz"/>
        <w:spacing w:line="20" w:lineRule="atLeast"/>
        <w:contextualSpacing/>
        <w:rPr>
          <w:rFonts w:ascii="Cambria" w:hAnsi="Cambria"/>
          <w:lang w:val="cs-CZ"/>
        </w:rPr>
      </w:pPr>
      <w:r w:rsidRPr="0063237B">
        <w:rPr>
          <w:rFonts w:ascii="Cambria" w:hAnsi="Cambria"/>
          <w:noProof/>
          <w:lang w:val="cs-CZ"/>
        </w:rPr>
        <w:lastRenderedPageBreak/>
        <w:drawing>
          <wp:anchor distT="0" distB="0" distL="114300" distR="114300" simplePos="0" relativeHeight="251659264" behindDoc="1" locked="0" layoutInCell="1" allowOverlap="1">
            <wp:simplePos x="0" y="0"/>
            <wp:positionH relativeFrom="column">
              <wp:posOffset>1403350</wp:posOffset>
            </wp:positionH>
            <wp:positionV relativeFrom="paragraph">
              <wp:posOffset>137795</wp:posOffset>
            </wp:positionV>
            <wp:extent cx="3663950" cy="2346325"/>
            <wp:effectExtent l="19050" t="0" r="0" b="0"/>
            <wp:wrapTight wrapText="bothSides">
              <wp:wrapPolygon edited="0">
                <wp:start x="-112" y="0"/>
                <wp:lineTo x="-112" y="21395"/>
                <wp:lineTo x="21563" y="21395"/>
                <wp:lineTo x="21563" y="0"/>
                <wp:lineTo x="-112" y="0"/>
              </wp:wrapPolygon>
            </wp:wrapTight>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9image1432.jpg"/>
                    <pic:cNvPicPr>
                      <a:picLocks noChangeAspect="1"/>
                    </pic:cNvPicPr>
                  </pic:nvPicPr>
                  <pic:blipFill>
                    <a:blip r:embed="rId12" cstate="print">
                      <a:extLst/>
                    </a:blip>
                    <a:stretch>
                      <a:fillRect/>
                    </a:stretch>
                  </pic:blipFill>
                  <pic:spPr>
                    <a:xfrm>
                      <a:off x="0" y="0"/>
                      <a:ext cx="3663950" cy="2346325"/>
                    </a:xfrm>
                    <a:prstGeom prst="rect">
                      <a:avLst/>
                    </a:prstGeom>
                    <a:ln w="12700" cap="flat">
                      <a:noFill/>
                      <a:miter lim="400000"/>
                    </a:ln>
                    <a:effectLst/>
                  </pic:spPr>
                </pic:pic>
              </a:graphicData>
            </a:graphic>
          </wp:anchor>
        </w:drawing>
      </w:r>
    </w:p>
    <w:p w:rsidR="00524771" w:rsidRPr="0063237B" w:rsidRDefault="00524771" w:rsidP="00524771">
      <w:pPr>
        <w:pStyle w:val="Vchoz"/>
        <w:spacing w:line="20" w:lineRule="atLeast"/>
        <w:contextualSpacing/>
        <w:rPr>
          <w:rFonts w:ascii="Cambria" w:hAnsi="Cambria"/>
          <w:lang w:val="cs-CZ"/>
        </w:rPr>
      </w:pPr>
    </w:p>
    <w:p w:rsidR="00170D1F" w:rsidRPr="0063237B" w:rsidRDefault="00170D1F" w:rsidP="00524771">
      <w:pPr>
        <w:pStyle w:val="Vchoz"/>
        <w:spacing w:line="20" w:lineRule="atLeast"/>
        <w:contextualSpacing/>
        <w:rPr>
          <w:rFonts w:ascii="Cambria" w:hAnsi="Cambria"/>
          <w:lang w:val="cs-CZ"/>
        </w:rPr>
      </w:pPr>
    </w:p>
    <w:p w:rsidR="003C084A" w:rsidRPr="0063237B" w:rsidRDefault="003F20CB" w:rsidP="00524771">
      <w:pPr>
        <w:pStyle w:val="Vchoz"/>
        <w:numPr>
          <w:ilvl w:val="0"/>
          <w:numId w:val="7"/>
        </w:numPr>
        <w:spacing w:line="20" w:lineRule="atLeast"/>
        <w:contextualSpacing/>
        <w:rPr>
          <w:rFonts w:ascii="Cambria" w:hAnsi="Cambria"/>
          <w:sz w:val="20"/>
          <w:szCs w:val="20"/>
          <w:lang w:val="cs-CZ"/>
        </w:rPr>
      </w:pPr>
      <w:r w:rsidRPr="0063237B">
        <w:rPr>
          <w:rFonts w:ascii="Cambria" w:hAnsi="Cambria"/>
          <w:sz w:val="20"/>
          <w:szCs w:val="20"/>
          <w:lang w:val="cs-CZ"/>
        </w:rPr>
        <w:t>Kolečko</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Těsnění</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Těsnící objímka</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Podvozkový šroub</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Pružná podložka</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Držák</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Ložisko</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Matice</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Podvozek</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Matice</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Těsnící kroužek</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Pružná podložka</w:t>
      </w:r>
    </w:p>
    <w:p w:rsidR="00524771" w:rsidRPr="0063237B" w:rsidRDefault="00524771" w:rsidP="00524771">
      <w:pPr>
        <w:pStyle w:val="Vchoz"/>
        <w:spacing w:line="20" w:lineRule="atLeast"/>
        <w:ind w:left="393"/>
        <w:contextualSpacing/>
        <w:rPr>
          <w:rFonts w:ascii="Cambria" w:hAnsi="Cambria"/>
          <w:sz w:val="20"/>
          <w:szCs w:val="20"/>
          <w:lang w:val="cs-CZ"/>
        </w:rPr>
      </w:pPr>
    </w:p>
    <w:p w:rsidR="00524771" w:rsidRPr="0063237B" w:rsidRDefault="00524771" w:rsidP="00524771">
      <w:pPr>
        <w:pStyle w:val="Vchoz"/>
        <w:spacing w:line="20" w:lineRule="atLeast"/>
        <w:ind w:left="393"/>
        <w:contextualSpacing/>
        <w:rPr>
          <w:rFonts w:ascii="Cambria" w:hAnsi="Cambria"/>
          <w:sz w:val="20"/>
          <w:szCs w:val="20"/>
          <w:lang w:val="cs-CZ"/>
        </w:rPr>
      </w:pPr>
      <w:r w:rsidRPr="0063237B">
        <w:rPr>
          <w:rFonts w:ascii="Cambria" w:hAnsi="Cambria"/>
          <w:noProof/>
          <w:sz w:val="20"/>
          <w:szCs w:val="20"/>
          <w:lang w:val="cs-CZ"/>
        </w:rPr>
        <w:drawing>
          <wp:anchor distT="0" distB="0" distL="114300" distR="114300" simplePos="0" relativeHeight="251660288" behindDoc="1" locked="0" layoutInCell="1" allowOverlap="1">
            <wp:simplePos x="0" y="0"/>
            <wp:positionH relativeFrom="column">
              <wp:posOffset>2291715</wp:posOffset>
            </wp:positionH>
            <wp:positionV relativeFrom="paragraph">
              <wp:posOffset>13970</wp:posOffset>
            </wp:positionV>
            <wp:extent cx="3016885" cy="2286000"/>
            <wp:effectExtent l="19050" t="0" r="0" b="0"/>
            <wp:wrapTight wrapText="bothSides">
              <wp:wrapPolygon edited="0">
                <wp:start x="-136" y="0"/>
                <wp:lineTo x="-136" y="21420"/>
                <wp:lineTo x="21550" y="21420"/>
                <wp:lineTo x="21550" y="0"/>
                <wp:lineTo x="-136" y="0"/>
              </wp:wrapPolygon>
            </wp:wrapTight>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0image1392.jpg"/>
                    <pic:cNvPicPr>
                      <a:picLocks noChangeAspect="1"/>
                    </pic:cNvPicPr>
                  </pic:nvPicPr>
                  <pic:blipFill>
                    <a:blip r:embed="rId13" cstate="print">
                      <a:extLst/>
                    </a:blip>
                    <a:srcRect l="11521" t="8304" r="7503"/>
                    <a:stretch>
                      <a:fillRect/>
                    </a:stretch>
                  </pic:blipFill>
                  <pic:spPr>
                    <a:xfrm>
                      <a:off x="0" y="0"/>
                      <a:ext cx="3016885" cy="2286000"/>
                    </a:xfrm>
                    <a:prstGeom prst="rect">
                      <a:avLst/>
                    </a:prstGeom>
                    <a:ln w="12700" cap="flat">
                      <a:noFill/>
                      <a:miter lim="400000"/>
                    </a:ln>
                    <a:effectLst/>
                  </pic:spPr>
                </pic:pic>
              </a:graphicData>
            </a:graphic>
          </wp:anchor>
        </w:drawing>
      </w:r>
    </w:p>
    <w:p w:rsidR="00524771" w:rsidRPr="0063237B" w:rsidRDefault="00524771" w:rsidP="00524771">
      <w:pPr>
        <w:pStyle w:val="Vchoz"/>
        <w:spacing w:line="20" w:lineRule="atLeast"/>
        <w:ind w:left="393"/>
        <w:contextualSpacing/>
        <w:rPr>
          <w:rFonts w:ascii="Cambria" w:hAnsi="Cambria"/>
          <w:sz w:val="20"/>
          <w:szCs w:val="20"/>
          <w:lang w:val="cs-CZ"/>
        </w:rPr>
      </w:pPr>
    </w:p>
    <w:p w:rsidR="00170D1F" w:rsidRPr="0063237B" w:rsidRDefault="00170D1F" w:rsidP="00524771">
      <w:pPr>
        <w:pStyle w:val="Vchoz"/>
        <w:spacing w:line="20" w:lineRule="atLeast"/>
        <w:contextualSpacing/>
        <w:rPr>
          <w:rFonts w:ascii="Cambria" w:hAnsi="Cambria"/>
          <w:lang w:val="cs-CZ"/>
        </w:rPr>
      </w:pPr>
    </w:p>
    <w:p w:rsidR="003C084A" w:rsidRPr="0063237B" w:rsidRDefault="003C084A" w:rsidP="00524771">
      <w:pPr>
        <w:pStyle w:val="Vchoz"/>
        <w:spacing w:line="20" w:lineRule="atLeast"/>
        <w:contextualSpacing/>
        <w:rPr>
          <w:rFonts w:ascii="Cambria" w:hAnsi="Cambria"/>
          <w:lang w:val="cs-CZ"/>
        </w:rPr>
      </w:pPr>
    </w:p>
    <w:p w:rsidR="003C084A" w:rsidRPr="0063237B" w:rsidRDefault="003F20CB" w:rsidP="00524771">
      <w:pPr>
        <w:pStyle w:val="Vchoz"/>
        <w:numPr>
          <w:ilvl w:val="0"/>
          <w:numId w:val="8"/>
        </w:numPr>
        <w:spacing w:line="20" w:lineRule="atLeast"/>
        <w:contextualSpacing/>
        <w:rPr>
          <w:rFonts w:ascii="Cambria" w:hAnsi="Cambria"/>
          <w:sz w:val="20"/>
          <w:szCs w:val="20"/>
          <w:lang w:val="cs-CZ"/>
        </w:rPr>
      </w:pPr>
      <w:r w:rsidRPr="0063237B">
        <w:rPr>
          <w:rFonts w:ascii="Cambria" w:hAnsi="Cambria"/>
          <w:sz w:val="20"/>
          <w:szCs w:val="20"/>
          <w:lang w:val="cs-CZ"/>
        </w:rPr>
        <w:t>Napájecí tlačítko</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Pohybový ovladač</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Světlo indikující pomalou jízdu</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Světlo indikující rychlou jízdu</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Světlo indikující úroveň nabití #1</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Světlo indikující úroveň nabití #2</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Světlo indikující úroveň nabití #3</w:t>
      </w:r>
    </w:p>
    <w:p w:rsidR="003C084A" w:rsidRPr="0063237B" w:rsidRDefault="003F20CB" w:rsidP="00524771">
      <w:pPr>
        <w:pStyle w:val="Vchoz"/>
        <w:numPr>
          <w:ilvl w:val="0"/>
          <w:numId w:val="6"/>
        </w:numPr>
        <w:spacing w:line="20" w:lineRule="atLeast"/>
        <w:contextualSpacing/>
        <w:rPr>
          <w:rFonts w:ascii="Cambria" w:hAnsi="Cambria"/>
          <w:sz w:val="20"/>
          <w:szCs w:val="20"/>
          <w:lang w:val="cs-CZ"/>
        </w:rPr>
      </w:pPr>
      <w:r w:rsidRPr="0063237B">
        <w:rPr>
          <w:rFonts w:ascii="Cambria" w:hAnsi="Cambria"/>
          <w:sz w:val="20"/>
          <w:szCs w:val="20"/>
          <w:lang w:val="cs-CZ"/>
        </w:rPr>
        <w:t>Nabíjecí port dálkového ovládání</w:t>
      </w: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524771" w:rsidRPr="0063237B" w:rsidRDefault="00524771" w:rsidP="00524771">
      <w:pPr>
        <w:pStyle w:val="Vchoz"/>
        <w:spacing w:line="20" w:lineRule="atLeast"/>
        <w:contextualSpacing/>
        <w:rPr>
          <w:rFonts w:ascii="Cambria" w:hAnsi="Cambria"/>
          <w:sz w:val="20"/>
          <w:szCs w:val="20"/>
          <w:lang w:val="cs-CZ"/>
        </w:rPr>
      </w:pPr>
    </w:p>
    <w:p w:rsidR="003C084A" w:rsidRPr="0063237B" w:rsidRDefault="005A59A5" w:rsidP="00524771">
      <w:pPr>
        <w:pStyle w:val="Vchoz"/>
        <w:spacing w:line="20" w:lineRule="atLeast"/>
        <w:contextualSpacing/>
        <w:rPr>
          <w:rFonts w:ascii="Cambria" w:hAnsi="Cambria"/>
          <w:lang w:val="cs-CZ"/>
        </w:rPr>
      </w:pPr>
      <w:r w:rsidRPr="0063237B">
        <w:rPr>
          <w:rFonts w:ascii="Cambria" w:hAnsi="Cambria"/>
          <w:b/>
          <w:bCs/>
          <w:lang w:val="cs-CZ"/>
        </w:rPr>
        <w:t>BEZPEČNOSTNÍ INSTRUKCE</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Elektrický longboard není hračka a mělo by s ním být zacházeno s přiměřenou opatrností. Vždy praktikujte především bezpečnost - pokud je možná ztráta rovnováhy a způsobení kolize, nebo pádu, ujistěte se, že používáte longboard ve správném prostředí a vždy používejte příměřené bezpečnostní vybavení.</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Bezpečnostní vybavení - doporučujeme Vám nosit úplnou bezpečnostní výstroj. Prosím používejte skateboardovou helmu, chrániče loktů, kolen a rukavice. Noste vhodný oděv, abyste se vyhnuli odřeninám při pádu. Při jízdě nenoste žabky a podobnou obuv.</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Longboard je uzpůsoben pro odpovědné jezdce starších 13 let.</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Longboard může v jednu chvíli používat pouze jedna osoba.</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Maximální váha jezdce je 120 kilogramů.</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Prosím dodržujte místní zákony a vyhlášky.</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Nejezděte pod vlivem alkoholu nebo jiných omamných látek.</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Longboard je uzpůsoben pro jízd</w:t>
      </w:r>
      <w:r w:rsidR="00133A0F" w:rsidRPr="0063237B">
        <w:rPr>
          <w:rFonts w:ascii="Cambria" w:hAnsi="Cambria"/>
          <w:lang w:val="cs-CZ"/>
        </w:rPr>
        <w:t>u</w:t>
      </w:r>
      <w:r w:rsidRPr="0063237B">
        <w:rPr>
          <w:rFonts w:ascii="Cambria" w:hAnsi="Cambria"/>
          <w:lang w:val="cs-CZ"/>
        </w:rPr>
        <w:t xml:space="preserve"> na rovném a dlážděném povrchu. Prosím</w:t>
      </w:r>
      <w:r w:rsidR="00133A0F" w:rsidRPr="0063237B">
        <w:rPr>
          <w:rFonts w:ascii="Cambria" w:hAnsi="Cambria"/>
          <w:lang w:val="cs-CZ"/>
        </w:rPr>
        <w:t>,</w:t>
      </w:r>
      <w:r w:rsidRPr="0063237B">
        <w:rPr>
          <w:rFonts w:ascii="Cambria" w:hAnsi="Cambria"/>
          <w:lang w:val="cs-CZ"/>
        </w:rPr>
        <w:t xml:space="preserve"> vyhněte se jízdy na písku, štěrku, bahnu nebo rozeklaném terénu. Nejezděte na kluzkém terénu, jako je sníh, nebo mokrý povrch.</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Udržujte si během jízdy odstup od jiných lidí a předmětů. Nejezděte na přelidněných místech.</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Dejte pozor na své okolí.</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Při jízdě na silnici neposlouchejte hudbu.</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Před jízdou vše zkontrolujte.</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Při jízdě nepokládejte předměty na desku longboardu.</w:t>
      </w:r>
    </w:p>
    <w:p w:rsidR="003C084A" w:rsidRPr="0063237B" w:rsidRDefault="003F20CB" w:rsidP="00524771">
      <w:pPr>
        <w:pStyle w:val="Vchoz"/>
        <w:numPr>
          <w:ilvl w:val="0"/>
          <w:numId w:val="9"/>
        </w:numPr>
        <w:spacing w:line="20" w:lineRule="atLeast"/>
        <w:contextualSpacing/>
        <w:rPr>
          <w:rFonts w:ascii="Cambria" w:hAnsi="Cambria"/>
          <w:lang w:val="cs-CZ"/>
        </w:rPr>
      </w:pPr>
      <w:r w:rsidRPr="0063237B">
        <w:rPr>
          <w:rFonts w:ascii="Cambria" w:hAnsi="Cambria"/>
          <w:lang w:val="cs-CZ"/>
        </w:rPr>
        <w:t>Pokud budou baterie v longboardu vybité, nepoužívejte ho a baterie co nejdříve dobijte.</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ježdění na nerovném povrchu</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jakéhokoliv kontaktu s vodou</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 xml:space="preserve">zákaz jízdy v prašném prostředí, na sněhu či v písku. </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jízda povolena pouze s ochrannými pomůckami - helma, bederní pás, chrániče dlaní, kolen, loktů atd.</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je nutné umět jezdit a brzdit na longboardu i bez použití motoru předtím, než bude motor využitý</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Upozornění, že brzda i plyn jsou velice citlivé a je nutné zacházet s ovladačem opatrně</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ježdění z prudkého kopce</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překročení maximální rychlosti, kterou je motor schopen vyvinout</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použití kdekoliv v blízkosti aut</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před použitím je nutné znát prostředí, ve kterém se bude jezdit. Toto prostředí musí být bezpečné aby nedošlo k poškození majetku třetích stran, zároveň povrch musí být pro využití zařízení vhodný. Vhodným povrchem se rozumí například hladký asfalt</w:t>
      </w:r>
    </w:p>
    <w:p w:rsidR="00133A0F" w:rsidRPr="0063237B" w:rsidRDefault="00133A0F" w:rsidP="00524771">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0" w:lineRule="atLeast"/>
        <w:rPr>
          <w:rFonts w:ascii="Cambria" w:eastAsia="Times New Roman" w:hAnsi="Cambria" w:cs="Arial"/>
          <w:color w:val="222222"/>
          <w:sz w:val="22"/>
          <w:szCs w:val="22"/>
          <w:bdr w:val="none" w:sz="0" w:space="0" w:color="auto"/>
          <w:lang w:val="cs-CZ" w:eastAsia="cs-CZ"/>
        </w:rPr>
      </w:pPr>
      <w:r w:rsidRPr="0063237B">
        <w:rPr>
          <w:rFonts w:ascii="Cambria" w:eastAsia="Times New Roman" w:hAnsi="Cambria" w:cs="Arial"/>
          <w:color w:val="222222"/>
          <w:sz w:val="22"/>
          <w:szCs w:val="22"/>
          <w:bdr w:val="none" w:sz="0" w:space="0" w:color="auto"/>
          <w:lang w:val="cs-CZ" w:eastAsia="cs-CZ"/>
        </w:rPr>
        <w:t>zákaz přejíždění jakýchkoliv nerovností ve větší rychlosti</w:t>
      </w:r>
    </w:p>
    <w:p w:rsidR="00133A0F" w:rsidRPr="0063237B" w:rsidRDefault="00133A0F" w:rsidP="00524771">
      <w:pPr>
        <w:pStyle w:val="Vchoz"/>
        <w:spacing w:line="20" w:lineRule="atLeast"/>
        <w:ind w:left="262"/>
        <w:contextualSpacing/>
        <w:rPr>
          <w:rFonts w:ascii="Cambria" w:hAnsi="Cambria"/>
          <w:lang w:val="cs-CZ"/>
        </w:rPr>
      </w:pPr>
    </w:p>
    <w:sectPr w:rsidR="00133A0F" w:rsidRPr="0063237B" w:rsidSect="00BE74E0">
      <w:type w:val="continuous"/>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7E" w:rsidRDefault="00A10B7E" w:rsidP="003C084A">
      <w:r>
        <w:separator/>
      </w:r>
    </w:p>
  </w:endnote>
  <w:endnote w:type="continuationSeparator" w:id="1">
    <w:p w:rsidR="00A10B7E" w:rsidRDefault="00A10B7E" w:rsidP="003C0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4A" w:rsidRDefault="003C08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7E" w:rsidRDefault="00A10B7E" w:rsidP="003C084A">
      <w:r>
        <w:separator/>
      </w:r>
    </w:p>
  </w:footnote>
  <w:footnote w:type="continuationSeparator" w:id="1">
    <w:p w:rsidR="00A10B7E" w:rsidRDefault="00A10B7E" w:rsidP="003C0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4A" w:rsidRDefault="003C08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507"/>
    <w:multiLevelType w:val="hybridMultilevel"/>
    <w:tmpl w:val="9254469A"/>
    <w:numStyleLink w:val="sla"/>
  </w:abstractNum>
  <w:abstractNum w:abstractNumId="1">
    <w:nsid w:val="33686CB6"/>
    <w:multiLevelType w:val="hybridMultilevel"/>
    <w:tmpl w:val="9254469A"/>
    <w:styleLink w:val="sla"/>
    <w:lvl w:ilvl="0" w:tplc="0198970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BEEAA470">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DC6A7076">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EDB4C540">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CDB4E6F4">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F36D8F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BF48DC7A">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B4106C4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E08F2A4">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86B7535"/>
    <w:multiLevelType w:val="hybridMultilevel"/>
    <w:tmpl w:val="746CCAB4"/>
    <w:styleLink w:val="Pomlka"/>
    <w:lvl w:ilvl="0" w:tplc="D2BCF886">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1" w:tplc="AE9C0AD0">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2" w:tplc="1D28DD20">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3" w:tplc="9F9E16F8">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4" w:tplc="74A66E82">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5" w:tplc="D1EAB9BE">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6" w:tplc="5D6C8D06">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7" w:tplc="92FEBCA4">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8" w:tplc="82406D2E">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66A22FD0"/>
    <w:multiLevelType w:val="hybridMultilevel"/>
    <w:tmpl w:val="746CCAB4"/>
    <w:numStyleLink w:val="Pomlka"/>
  </w:abstractNum>
  <w:abstractNum w:abstractNumId="4">
    <w:nsid w:val="783725D2"/>
    <w:multiLevelType w:val="hybridMultilevel"/>
    <w:tmpl w:val="37DEBEB2"/>
    <w:lvl w:ilvl="0" w:tplc="326CD92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E4E02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2605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2EE5D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FEB3D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0836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4C208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278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5E23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B0002A1"/>
    <w:multiLevelType w:val="hybridMultilevel"/>
    <w:tmpl w:val="425E7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 w:ilvl="0" w:tplc="A7B41F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CA3EC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6DB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6AB8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2C6A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0821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B4062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5E76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949C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A7B41F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CA3EC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6DB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6AB8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2C6A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0821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B4062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5E76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949C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A7B41F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CA3EC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6DB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6AB8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2C6A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0821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B4062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5E76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949C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28FE0AE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2EAFB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1B62CBC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57632A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3B68949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AFA4DB1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708AFD5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2EE774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C17A1BC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3C084A"/>
    <w:rsid w:val="00133A0F"/>
    <w:rsid w:val="00170D1F"/>
    <w:rsid w:val="00372F8F"/>
    <w:rsid w:val="003C084A"/>
    <w:rsid w:val="003F20CB"/>
    <w:rsid w:val="00524771"/>
    <w:rsid w:val="005A175C"/>
    <w:rsid w:val="005A59A5"/>
    <w:rsid w:val="0063237B"/>
    <w:rsid w:val="00912C92"/>
    <w:rsid w:val="00A10B7E"/>
    <w:rsid w:val="00BE74E0"/>
    <w:rsid w:val="00E860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C084A"/>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084A"/>
    <w:rPr>
      <w:u w:val="single"/>
    </w:rPr>
  </w:style>
  <w:style w:type="table" w:customStyle="1" w:styleId="TableNormal">
    <w:name w:val="Table Normal"/>
    <w:rsid w:val="003C084A"/>
    <w:tblPr>
      <w:tblInd w:w="0" w:type="dxa"/>
      <w:tblCellMar>
        <w:top w:w="0" w:type="dxa"/>
        <w:left w:w="0" w:type="dxa"/>
        <w:bottom w:w="0" w:type="dxa"/>
        <w:right w:w="0" w:type="dxa"/>
      </w:tblCellMar>
    </w:tblPr>
  </w:style>
  <w:style w:type="paragraph" w:customStyle="1" w:styleId="Vchoz">
    <w:name w:val="Výchozí"/>
    <w:rsid w:val="003C084A"/>
    <w:rPr>
      <w:rFonts w:ascii="Helvetica" w:hAnsi="Helvetica" w:cs="Arial Unicode MS"/>
      <w:color w:val="000000"/>
      <w:sz w:val="22"/>
      <w:szCs w:val="22"/>
      <w:lang w:val="en-US"/>
    </w:rPr>
  </w:style>
  <w:style w:type="numbering" w:customStyle="1" w:styleId="Pomlka">
    <w:name w:val="Pomlčka"/>
    <w:rsid w:val="003C084A"/>
    <w:pPr>
      <w:numPr>
        <w:numId w:val="1"/>
      </w:numPr>
    </w:pPr>
  </w:style>
  <w:style w:type="numbering" w:customStyle="1" w:styleId="sla">
    <w:name w:val="Čísla"/>
    <w:rsid w:val="003C084A"/>
    <w:pPr>
      <w:numPr>
        <w:numId w:val="4"/>
      </w:numPr>
    </w:pPr>
  </w:style>
  <w:style w:type="paragraph" w:styleId="Textbubliny">
    <w:name w:val="Balloon Text"/>
    <w:basedOn w:val="Normln"/>
    <w:link w:val="TextbublinyChar"/>
    <w:uiPriority w:val="99"/>
    <w:semiHidden/>
    <w:unhideWhenUsed/>
    <w:rsid w:val="00133A0F"/>
    <w:rPr>
      <w:rFonts w:ascii="Tahoma" w:hAnsi="Tahoma" w:cs="Tahoma"/>
      <w:sz w:val="16"/>
      <w:szCs w:val="16"/>
    </w:rPr>
  </w:style>
  <w:style w:type="character" w:customStyle="1" w:styleId="TextbublinyChar">
    <w:name w:val="Text bubliny Char"/>
    <w:basedOn w:val="Standardnpsmoodstavce"/>
    <w:link w:val="Textbubliny"/>
    <w:uiPriority w:val="99"/>
    <w:semiHidden/>
    <w:rsid w:val="00133A0F"/>
    <w:rPr>
      <w:rFonts w:ascii="Tahoma" w:hAnsi="Tahoma" w:cs="Tahoma"/>
      <w:sz w:val="16"/>
      <w:szCs w:val="16"/>
      <w:lang w:val="en-US" w:eastAsia="en-US"/>
    </w:rPr>
  </w:style>
  <w:style w:type="paragraph" w:styleId="Odstavecseseznamem">
    <w:name w:val="List Paragraph"/>
    <w:basedOn w:val="Normln"/>
    <w:uiPriority w:val="34"/>
    <w:qFormat/>
    <w:rsid w:val="00133A0F"/>
    <w:pPr>
      <w:ind w:left="720"/>
      <w:contextualSpacing/>
    </w:pPr>
  </w:style>
</w:styles>
</file>

<file path=word/webSettings.xml><?xml version="1.0" encoding="utf-8"?>
<w:webSettings xmlns:r="http://schemas.openxmlformats.org/officeDocument/2006/relationships" xmlns:w="http://schemas.openxmlformats.org/wordprocessingml/2006/main">
  <w:divs>
    <w:div w:id="1956059547">
      <w:bodyDiv w:val="1"/>
      <w:marLeft w:val="0"/>
      <w:marRight w:val="0"/>
      <w:marTop w:val="0"/>
      <w:marBottom w:val="0"/>
      <w:divBdr>
        <w:top w:val="none" w:sz="0" w:space="0" w:color="auto"/>
        <w:left w:val="none" w:sz="0" w:space="0" w:color="auto"/>
        <w:bottom w:val="none" w:sz="0" w:space="0" w:color="auto"/>
        <w:right w:val="none" w:sz="0" w:space="0" w:color="auto"/>
      </w:divBdr>
      <w:divsChild>
        <w:div w:id="1289701685">
          <w:marLeft w:val="0"/>
          <w:marRight w:val="0"/>
          <w:marTop w:val="0"/>
          <w:marBottom w:val="0"/>
          <w:divBdr>
            <w:top w:val="none" w:sz="0" w:space="0" w:color="auto"/>
            <w:left w:val="none" w:sz="0" w:space="0" w:color="auto"/>
            <w:bottom w:val="none" w:sz="0" w:space="0" w:color="auto"/>
            <w:right w:val="none" w:sz="0" w:space="0" w:color="auto"/>
          </w:divBdr>
        </w:div>
        <w:div w:id="177039007">
          <w:marLeft w:val="0"/>
          <w:marRight w:val="0"/>
          <w:marTop w:val="0"/>
          <w:marBottom w:val="0"/>
          <w:divBdr>
            <w:top w:val="none" w:sz="0" w:space="0" w:color="auto"/>
            <w:left w:val="none" w:sz="0" w:space="0" w:color="auto"/>
            <w:bottom w:val="none" w:sz="0" w:space="0" w:color="auto"/>
            <w:right w:val="none" w:sz="0" w:space="0" w:color="auto"/>
          </w:divBdr>
        </w:div>
        <w:div w:id="337924605">
          <w:marLeft w:val="0"/>
          <w:marRight w:val="0"/>
          <w:marTop w:val="0"/>
          <w:marBottom w:val="0"/>
          <w:divBdr>
            <w:top w:val="none" w:sz="0" w:space="0" w:color="auto"/>
            <w:left w:val="none" w:sz="0" w:space="0" w:color="auto"/>
            <w:bottom w:val="none" w:sz="0" w:space="0" w:color="auto"/>
            <w:right w:val="none" w:sz="0" w:space="0" w:color="auto"/>
          </w:divBdr>
        </w:div>
        <w:div w:id="2053650583">
          <w:marLeft w:val="0"/>
          <w:marRight w:val="0"/>
          <w:marTop w:val="0"/>
          <w:marBottom w:val="0"/>
          <w:divBdr>
            <w:top w:val="none" w:sz="0" w:space="0" w:color="auto"/>
            <w:left w:val="none" w:sz="0" w:space="0" w:color="auto"/>
            <w:bottom w:val="none" w:sz="0" w:space="0" w:color="auto"/>
            <w:right w:val="none" w:sz="0" w:space="0" w:color="auto"/>
          </w:divBdr>
        </w:div>
        <w:div w:id="473838033">
          <w:marLeft w:val="0"/>
          <w:marRight w:val="0"/>
          <w:marTop w:val="0"/>
          <w:marBottom w:val="0"/>
          <w:divBdr>
            <w:top w:val="none" w:sz="0" w:space="0" w:color="auto"/>
            <w:left w:val="none" w:sz="0" w:space="0" w:color="auto"/>
            <w:bottom w:val="none" w:sz="0" w:space="0" w:color="auto"/>
            <w:right w:val="none" w:sz="0" w:space="0" w:color="auto"/>
          </w:divBdr>
        </w:div>
        <w:div w:id="1061635009">
          <w:marLeft w:val="0"/>
          <w:marRight w:val="0"/>
          <w:marTop w:val="0"/>
          <w:marBottom w:val="0"/>
          <w:divBdr>
            <w:top w:val="none" w:sz="0" w:space="0" w:color="auto"/>
            <w:left w:val="none" w:sz="0" w:space="0" w:color="auto"/>
            <w:bottom w:val="none" w:sz="0" w:space="0" w:color="auto"/>
            <w:right w:val="none" w:sz="0" w:space="0" w:color="auto"/>
          </w:divBdr>
        </w:div>
        <w:div w:id="1522891249">
          <w:marLeft w:val="0"/>
          <w:marRight w:val="0"/>
          <w:marTop w:val="0"/>
          <w:marBottom w:val="0"/>
          <w:divBdr>
            <w:top w:val="none" w:sz="0" w:space="0" w:color="auto"/>
            <w:left w:val="none" w:sz="0" w:space="0" w:color="auto"/>
            <w:bottom w:val="none" w:sz="0" w:space="0" w:color="auto"/>
            <w:right w:val="none" w:sz="0" w:space="0" w:color="auto"/>
          </w:divBdr>
        </w:div>
        <w:div w:id="1076240968">
          <w:marLeft w:val="0"/>
          <w:marRight w:val="0"/>
          <w:marTop w:val="0"/>
          <w:marBottom w:val="0"/>
          <w:divBdr>
            <w:top w:val="none" w:sz="0" w:space="0" w:color="auto"/>
            <w:left w:val="none" w:sz="0" w:space="0" w:color="auto"/>
            <w:bottom w:val="none" w:sz="0" w:space="0" w:color="auto"/>
            <w:right w:val="none" w:sz="0" w:space="0" w:color="auto"/>
          </w:divBdr>
        </w:div>
        <w:div w:id="1139809205">
          <w:marLeft w:val="0"/>
          <w:marRight w:val="0"/>
          <w:marTop w:val="0"/>
          <w:marBottom w:val="0"/>
          <w:divBdr>
            <w:top w:val="none" w:sz="0" w:space="0" w:color="auto"/>
            <w:left w:val="none" w:sz="0" w:space="0" w:color="auto"/>
            <w:bottom w:val="none" w:sz="0" w:space="0" w:color="auto"/>
            <w:right w:val="none" w:sz="0" w:space="0" w:color="auto"/>
          </w:divBdr>
        </w:div>
        <w:div w:id="27343349">
          <w:marLeft w:val="0"/>
          <w:marRight w:val="0"/>
          <w:marTop w:val="0"/>
          <w:marBottom w:val="0"/>
          <w:divBdr>
            <w:top w:val="none" w:sz="0" w:space="0" w:color="auto"/>
            <w:left w:val="none" w:sz="0" w:space="0" w:color="auto"/>
            <w:bottom w:val="none" w:sz="0" w:space="0" w:color="auto"/>
            <w:right w:val="none" w:sz="0" w:space="0" w:color="auto"/>
          </w:divBdr>
        </w:div>
        <w:div w:id="113596329">
          <w:marLeft w:val="0"/>
          <w:marRight w:val="0"/>
          <w:marTop w:val="0"/>
          <w:marBottom w:val="0"/>
          <w:divBdr>
            <w:top w:val="none" w:sz="0" w:space="0" w:color="auto"/>
            <w:left w:val="none" w:sz="0" w:space="0" w:color="auto"/>
            <w:bottom w:val="none" w:sz="0" w:space="0" w:color="auto"/>
            <w:right w:val="none" w:sz="0" w:space="0" w:color="auto"/>
          </w:divBdr>
        </w:div>
        <w:div w:id="398789506">
          <w:marLeft w:val="0"/>
          <w:marRight w:val="0"/>
          <w:marTop w:val="0"/>
          <w:marBottom w:val="0"/>
          <w:divBdr>
            <w:top w:val="none" w:sz="0" w:space="0" w:color="auto"/>
            <w:left w:val="none" w:sz="0" w:space="0" w:color="auto"/>
            <w:bottom w:val="none" w:sz="0" w:space="0" w:color="auto"/>
            <w:right w:val="none" w:sz="0" w:space="0" w:color="auto"/>
          </w:divBdr>
        </w:div>
        <w:div w:id="307512828">
          <w:marLeft w:val="0"/>
          <w:marRight w:val="0"/>
          <w:marTop w:val="0"/>
          <w:marBottom w:val="0"/>
          <w:divBdr>
            <w:top w:val="none" w:sz="0" w:space="0" w:color="auto"/>
            <w:left w:val="none" w:sz="0" w:space="0" w:color="auto"/>
            <w:bottom w:val="none" w:sz="0" w:space="0" w:color="auto"/>
            <w:right w:val="none" w:sz="0" w:space="0" w:color="auto"/>
          </w:divBdr>
        </w:div>
        <w:div w:id="1759407341">
          <w:marLeft w:val="0"/>
          <w:marRight w:val="0"/>
          <w:marTop w:val="27"/>
          <w:marBottom w:val="0"/>
          <w:divBdr>
            <w:top w:val="none" w:sz="0" w:space="0" w:color="auto"/>
            <w:left w:val="none" w:sz="0" w:space="0" w:color="auto"/>
            <w:bottom w:val="none" w:sz="0" w:space="0" w:color="auto"/>
            <w:right w:val="none" w:sz="0" w:space="0" w:color="auto"/>
          </w:divBdr>
          <w:divsChild>
            <w:div w:id="2046368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7599-5712-4617-8D86-356E7F58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6197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PowerGuy</dc:creator>
  <cp:lastModifiedBy>PowerGuy</cp:lastModifiedBy>
  <cp:revision>2</cp:revision>
  <dcterms:created xsi:type="dcterms:W3CDTF">2017-05-03T10:47:00Z</dcterms:created>
  <dcterms:modified xsi:type="dcterms:W3CDTF">2017-05-03T10:47:00Z</dcterms:modified>
</cp:coreProperties>
</file>